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ЗАКЛЮЧЕНИИ ДОГОВОРОВ О ПРЕДОСТАВЛЕНИИ КОММУНАЛЬНОЙ УСЛУГИ ПО ЭЛЕКТРОСНАБЖЕНИЮ</w:t>
      </w:r>
    </w:p>
    <w:p>
      <w:pPr>
        <w:pStyle w:val="Normal"/>
        <w:spacing w:lineRule="auto" w:line="27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вводом в эксплуатацию многоквартирного жилого дома по адресу: Рязанская область, Михайловский район, с. Грязное , ул. Луговая,  д.6а , отсуствием решения собственников и пользователей помещений о выборе способа управления, Публичное акционерное общество «Рязанская энергетическая сбытовая компания» уведомляет о заключении договоров о предоставлении коммунальной услуги по электроснабжению с собственниками помещений в многоквартирном доме по адресу: Рязанская область, Михайловский район, с. Грязное , ул. Луговая,  д.6а, </w:t>
      </w:r>
      <w:r>
        <w:rPr>
          <w:b/>
          <w:sz w:val="26"/>
          <w:szCs w:val="26"/>
        </w:rPr>
        <w:t>с 01 мая 2026 г.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Во исполнение п.17(а)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06.05.2011г. N 354, ПАО «РЭСК» сообщает: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1. Дата заключения и начала исполнения договоров о предоставлении коммунальной услуги по электроснабжению с ресурсоснабжающей организацией</w:t>
      </w:r>
      <w:r>
        <w:rPr>
          <w:sz w:val="26"/>
          <w:szCs w:val="26"/>
        </w:rPr>
        <w:t xml:space="preserve"> - </w:t>
      </w:r>
      <w:r>
        <w:rPr>
          <w:i/>
          <w:sz w:val="26"/>
          <w:szCs w:val="26"/>
        </w:rPr>
        <w:t>01 мая 2026г.</w:t>
      </w:r>
      <w:r>
        <w:rPr>
          <w:sz w:val="26"/>
          <w:szCs w:val="26"/>
        </w:rPr>
        <w:t>;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2. Перечень сведений,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услугу: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адрес жилого помещения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наличии и типе установленных в жилом помещении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а также их показания за 12 предшествующих расчетных периодов;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РФ;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i/>
          <w:sz w:val="26"/>
          <w:szCs w:val="26"/>
        </w:rPr>
        <w:t xml:space="preserve">- сведения о введении в отношении жилого помещения ограничения или приостановления предоставления коммунальной услуги по электроснабжению в случае </w:t>
      </w:r>
      <w:r>
        <w:rPr>
          <w:rFonts w:eastAsia="Calibri" w:eastAsiaTheme="minorHAnsi"/>
          <w:i/>
          <w:sz w:val="26"/>
          <w:szCs w:val="26"/>
          <w:lang w:eastAsia="en-US"/>
        </w:rPr>
        <w:t>неполной оплаты потребителем коммунальной услуги по электроснабжению</w:t>
      </w:r>
      <w:r>
        <w:rPr>
          <w:i/>
          <w:sz w:val="26"/>
          <w:szCs w:val="26"/>
        </w:rPr>
        <w:t>, а также сведения об устранении оснований для введения такого ограничения или приостановления;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вышеуказанными Правилами, за предыдущие 12 месяцев;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- реквизиты документов, подтверждающих право собственности на жилое помещение в многоквартирном доме и (или) их копии (при их наличии).  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3. Информация о сроках и способах внесения платы за коммунальную услугу: 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Оплату коммунальной услуги по электроснабжению нужно производить по номеру лицевого счета не позднее 15-го числа месяца, следующего за расчетным. </w:t>
      </w:r>
      <w:r>
        <w:rPr>
          <w:rFonts w:eastAsia="Calibri" w:eastAsiaTheme="minorHAnsi"/>
          <w:b w:val="false"/>
          <w:i/>
          <w:caps w:val="false"/>
          <w:smallCaps w:val="false"/>
          <w:color w:val="auto"/>
          <w:spacing w:val="0"/>
          <w:sz w:val="26"/>
          <w:szCs w:val="26"/>
          <w:lang w:eastAsia="en-US"/>
        </w:rPr>
        <w:t>Оплатить потребленную электрическую энергию без комиссии можно:</w:t>
      </w:r>
    </w:p>
    <w:p>
      <w:pPr>
        <w:pStyle w:val="BodyText"/>
        <w:widowControl/>
        <w:jc w:val="both"/>
        <w:rPr/>
      </w:pPr>
      <w:r>
        <w:rPr>
          <w:caps w:val="false"/>
          <w:smallCaps w:val="false"/>
          <w:color w:val="auto"/>
          <w:spacing w:val="0"/>
          <w:sz w:val="26"/>
          <w:szCs w:val="26"/>
        </w:rPr>
        <w:t xml:space="preserve">    </w:t>
      </w:r>
      <w:r>
        <w:rPr>
          <w:caps w:val="false"/>
          <w:smallCaps w:val="false"/>
          <w:color w:val="auto"/>
          <w:spacing w:val="0"/>
          <w:sz w:val="26"/>
          <w:szCs w:val="26"/>
        </w:rPr>
        <w:t xml:space="preserve">- </w:t>
      </w:r>
      <w:r>
        <w:rPr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на сайте ПАО «РЭСК» </w:t>
      </w:r>
      <w:hyperlink r:id="rId2">
        <w:r>
          <w:rPr>
            <w:rStyle w:val="Hyperlink"/>
            <w:b w:val="false"/>
            <w:i w:val="false"/>
            <w:caps w:val="false"/>
            <w:smallCaps w:val="false"/>
            <w:color w:val="auto"/>
            <w:spacing w:val="0"/>
            <w:sz w:val="26"/>
            <w:szCs w:val="26"/>
            <w:u w:val="single"/>
          </w:rPr>
          <w:t>www.resk.ru</w:t>
        </w:r>
      </w:hyperlink>
      <w:r>
        <w:rPr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single"/>
        </w:rPr>
        <w:t xml:space="preserve"> </w:t>
      </w:r>
      <w:r>
        <w:rPr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через «Личный кабинет клиента» на Главной странице;</w:t>
      </w:r>
    </w:p>
    <w:p>
      <w:pPr>
        <w:pStyle w:val="BodyText"/>
        <w:widowControl/>
        <w:jc w:val="both"/>
        <w:rPr/>
      </w:pPr>
      <w:r>
        <w:rPr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       </w:t>
      </w:r>
      <w:r>
        <w:rPr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- через отделения и устройства самообслуживания ПАО Сбербанк (наличными или банковской картой), а также с помощью электронного сервиса «Сбербанк-онлайн» (</w:t>
      </w:r>
      <w:r>
        <w:rPr>
          <w:rStyle w:val="Hyperlink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single"/>
        </w:rPr>
        <w:t>https://online.sberbank.ru);</w:t>
      </w:r>
    </w:p>
    <w:p>
      <w:pPr>
        <w:pStyle w:val="BodyText"/>
        <w:widowControl/>
        <w:jc w:val="both"/>
        <w:rPr/>
      </w:pPr>
      <w:r>
        <w:rPr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        </w:t>
      </w:r>
      <w:r>
        <w:rPr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- с помощью системы «Все платежи» (</w:t>
      </w:r>
      <w:r>
        <w:rPr>
          <w:rStyle w:val="Hyperlink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single"/>
        </w:rPr>
        <w:t>https://vp.ru);</w:t>
      </w:r>
    </w:p>
    <w:p>
      <w:pPr>
        <w:pStyle w:val="BodyText"/>
        <w:widowControl/>
        <w:jc w:val="both"/>
        <w:rPr>
          <w:rFonts w:ascii="Times New Roman" w:hAnsi="Times New Roman"/>
          <w:caps w:val="false"/>
          <w:smallCaps w:val="false"/>
          <w:color w:val="auto"/>
          <w:spacing w:val="0"/>
          <w:sz w:val="26"/>
          <w:szCs w:val="26"/>
        </w:rPr>
      </w:pPr>
      <w:r>
        <w:rPr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        </w:t>
      </w:r>
      <w:r>
        <w:rPr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- через социальную сеть «ВКонтакте»;</w:t>
      </w:r>
    </w:p>
    <w:p>
      <w:pPr>
        <w:pStyle w:val="BodyText"/>
        <w:widowControl/>
        <w:jc w:val="both"/>
        <w:rPr>
          <w:rFonts w:ascii="Times New Roman" w:hAnsi="Times New Roman"/>
          <w:caps w:val="false"/>
          <w:smallCaps w:val="false"/>
          <w:color w:val="auto"/>
          <w:spacing w:val="0"/>
          <w:sz w:val="26"/>
          <w:szCs w:val="26"/>
        </w:rPr>
      </w:pPr>
      <w:r>
        <w:rPr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        </w:t>
      </w:r>
      <w:r>
        <w:rPr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- через мобильное приложение «Абонент+»</w:t>
      </w:r>
    </w:p>
    <w:p>
      <w:pPr>
        <w:pStyle w:val="BodyText"/>
        <w:widowControl/>
        <w:numPr>
          <w:ilvl w:val="0"/>
          <w:numId w:val="0"/>
        </w:numPr>
        <w:tabs>
          <w:tab w:val="clear" w:pos="708"/>
          <w:tab w:val="left" w:pos="390" w:leader="none"/>
        </w:tabs>
        <w:spacing w:lineRule="atLeast" w:line="283" w:before="0" w:after="0"/>
        <w:ind w:left="0" w:hanging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auto"/>
          <w:spacing w:val="0"/>
          <w:sz w:val="26"/>
          <w:szCs w:val="26"/>
        </w:rPr>
      </w:pPr>
      <w:r>
        <w:rPr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- во всех почтовых отделениях АО «Почта России» (наличными );</w:t>
      </w:r>
    </w:p>
    <w:p>
      <w:pPr>
        <w:pStyle w:val="BodyText"/>
        <w:widowControl/>
        <w:numPr>
          <w:ilvl w:val="0"/>
          <w:numId w:val="0"/>
        </w:numPr>
        <w:spacing w:lineRule="atLeast" w:line="283" w:before="0" w:after="0"/>
        <w:ind w:left="0" w:hanging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auto"/>
          <w:spacing w:val="0"/>
          <w:sz w:val="26"/>
          <w:szCs w:val="26"/>
        </w:rPr>
      </w:pPr>
      <w:r>
        <w:rPr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- в отделениях АО «Россельхозбанка», Прио-Внешторгбанка (ПАО), банка ВТБ (ПАО), а также с помощью интернет-сервисов данных банков (наличными или банковской картой)</w:t>
      </w:r>
    </w:p>
    <w:p>
      <w:pPr>
        <w:pStyle w:val="ListParagraph"/>
        <w:spacing w:lineRule="auto" w:line="276"/>
        <w:ind w:left="540" w:hanging="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</w:r>
    </w:p>
    <w:p>
      <w:pPr>
        <w:pStyle w:val="ListParagraph"/>
        <w:spacing w:lineRule="auto" w:line="276"/>
        <w:ind w:left="540" w:hanging="0"/>
        <w:jc w:val="both"/>
        <w:rPr>
          <w:sz w:val="26"/>
          <w:szCs w:val="26"/>
          <w:u w:val="single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5. Платежные реквизиты ПАО «РЭСК»:</w:t>
      </w:r>
    </w:p>
    <w:p>
      <w:pPr>
        <w:pStyle w:val="ListParagraph"/>
        <w:shd w:val="clear" w:color="auto" w:fill="FFFFFF"/>
        <w:spacing w:lineRule="auto" w:line="276"/>
        <w:ind w:left="0" w:firstLine="540"/>
        <w:jc w:val="both"/>
        <w:rPr>
          <w:i/>
          <w:i/>
          <w:spacing w:val="-3"/>
          <w:sz w:val="26"/>
          <w:szCs w:val="26"/>
        </w:rPr>
      </w:pPr>
      <w:r>
        <w:rPr>
          <w:i/>
          <w:sz w:val="26"/>
          <w:szCs w:val="26"/>
        </w:rPr>
        <w:t xml:space="preserve">ИНН </w:t>
      </w:r>
      <w:r>
        <w:rPr>
          <w:i/>
          <w:sz w:val="26"/>
          <w:szCs w:val="26"/>
          <w:lang w:eastAsia="en-US"/>
        </w:rPr>
        <w:t>6229049014</w:t>
      </w:r>
      <w:r>
        <w:rPr>
          <w:i/>
          <w:sz w:val="26"/>
          <w:szCs w:val="26"/>
        </w:rPr>
        <w:t xml:space="preserve">, </w:t>
      </w:r>
      <w:r>
        <w:rPr>
          <w:i/>
          <w:spacing w:val="-3"/>
          <w:sz w:val="26"/>
          <w:szCs w:val="26"/>
        </w:rPr>
        <w:t xml:space="preserve">КПП 622901001, </w:t>
      </w:r>
    </w:p>
    <w:p>
      <w:pPr>
        <w:pStyle w:val="ListParagraph"/>
        <w:shd w:val="clear" w:color="auto" w:fill="FFFFFF"/>
        <w:spacing w:lineRule="auto" w:line="276"/>
        <w:ind w:left="0"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р/с</w:t>
      </w:r>
      <w:r>
        <w:rPr>
          <w:i/>
          <w:sz w:val="26"/>
          <w:szCs w:val="26"/>
          <w:lang w:eastAsia="en-US"/>
        </w:rPr>
        <w:t xml:space="preserve"> 40702810253000162251</w:t>
      </w:r>
      <w:r>
        <w:rPr>
          <w:i/>
          <w:sz w:val="26"/>
          <w:szCs w:val="26"/>
        </w:rPr>
        <w:t xml:space="preserve"> в </w:t>
      </w:r>
      <w:r>
        <w:rPr>
          <w:i/>
          <w:spacing w:val="-1"/>
          <w:sz w:val="26"/>
          <w:szCs w:val="26"/>
        </w:rPr>
        <w:t>Рязанском отделении № 8606 ПАО «Сбербанк» г.Рязань</w:t>
      </w:r>
      <w:bookmarkStart w:id="0" w:name="_GoBack"/>
      <w:bookmarkEnd w:id="0"/>
    </w:p>
    <w:p>
      <w:pPr>
        <w:pStyle w:val="ListParagraph"/>
        <w:shd w:val="clear" w:color="auto" w:fill="FFFFFF"/>
        <w:spacing w:lineRule="auto" w:line="276"/>
        <w:ind w:left="0" w:firstLine="540"/>
        <w:jc w:val="both"/>
        <w:rPr>
          <w:i/>
          <w:i/>
          <w:sz w:val="26"/>
          <w:szCs w:val="26"/>
        </w:rPr>
      </w:pPr>
      <w:r>
        <w:rPr>
          <w:i/>
          <w:spacing w:val="-1"/>
          <w:sz w:val="26"/>
          <w:szCs w:val="26"/>
        </w:rPr>
        <w:t xml:space="preserve">к/с 3010 1810 5000 0000 0614 </w:t>
      </w:r>
      <w:r>
        <w:rPr>
          <w:i/>
          <w:spacing w:val="-2"/>
          <w:sz w:val="26"/>
          <w:szCs w:val="26"/>
        </w:rPr>
        <w:t>БИК 046126614</w:t>
      </w:r>
    </w:p>
    <w:p>
      <w:pPr>
        <w:pStyle w:val="ListParagraph"/>
        <w:spacing w:lineRule="auto" w:line="276"/>
        <w:ind w:left="0"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ОГРН 1056204000049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6. Информация об адресе (местонахождении) ресурсоснабжающей организации, а также адресах (местонахождении) ее филиалов (при наличии), контактных телефонах и адресах электронной почты:</w:t>
      </w:r>
    </w:p>
    <w:p>
      <w:pPr>
        <w:pStyle w:val="ListParagraph"/>
        <w:spacing w:lineRule="auto" w:line="276"/>
        <w:ind w:left="0"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юридический адрес: </w:t>
      </w:r>
      <w:r>
        <w:rPr>
          <w:i/>
          <w:sz w:val="26"/>
          <w:szCs w:val="26"/>
          <w:lang w:eastAsia="en-US"/>
        </w:rPr>
        <w:t>390005, г. Рязань, ул. Дзержинского, д.21А</w:t>
      </w:r>
    </w:p>
    <w:p>
      <w:pPr>
        <w:pStyle w:val="ListParagraph"/>
        <w:spacing w:lineRule="auto" w:line="276"/>
        <w:ind w:left="0"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адрес (местонахождение): 390005, </w:t>
      </w:r>
      <w:r>
        <w:rPr>
          <w:i/>
          <w:sz w:val="26"/>
          <w:szCs w:val="26"/>
          <w:lang w:eastAsia="en-US"/>
        </w:rPr>
        <w:t>г. Рязань, ул. Дзержинского, д.21А</w:t>
      </w:r>
    </w:p>
    <w:p>
      <w:pPr>
        <w:pStyle w:val="ListParagraph"/>
        <w:spacing w:lineRule="auto" w:line="276"/>
        <w:ind w:left="0"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Телефоны для связи: 8-800-775-62-62; 93-38-97.</w:t>
      </w:r>
    </w:p>
    <w:p>
      <w:pPr>
        <w:pStyle w:val="Normal"/>
        <w:spacing w:lineRule="auto" w:line="276"/>
        <w:ind w:firstLine="540"/>
        <w:jc w:val="both"/>
        <w:rPr>
          <w:lang w:val="en-US"/>
        </w:rPr>
      </w:pPr>
      <w:r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  <w:lang w:val="en-US"/>
        </w:rPr>
        <w:t xml:space="preserve">resk </w:t>
      </w:r>
      <w:hyperlink r:id="rId3">
        <w:r>
          <w:rPr>
            <w:rStyle w:val="Hyperlink"/>
            <w:i/>
            <w:color w:val="auto"/>
            <w:sz w:val="26"/>
            <w:szCs w:val="26"/>
            <w:lang w:val="en-US"/>
          </w:rPr>
          <w:t>@resk.ru</w:t>
        </w:r>
      </w:hyperlink>
      <w:r>
        <w:rPr>
          <w:i/>
          <w:sz w:val="26"/>
          <w:szCs w:val="26"/>
          <w:lang w:val="en-US"/>
        </w:rPr>
        <w:t xml:space="preserve">, </w:t>
      </w:r>
      <w:hyperlink r:id="rId4">
        <w:r>
          <w:rPr>
            <w:rStyle w:val="Hyperlink"/>
            <w:i/>
            <w:color w:val="auto"/>
            <w:sz w:val="26"/>
            <w:szCs w:val="26"/>
            <w:lang w:val="en-US"/>
          </w:rPr>
          <w:t>www.resk.ru</w:t>
        </w:r>
      </w:hyperlink>
    </w:p>
    <w:p>
      <w:pPr>
        <w:pStyle w:val="Normal"/>
        <w:spacing w:lineRule="auto" w:line="276"/>
        <w:ind w:firstLine="540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76"/>
        <w:ind w:firstLine="540"/>
        <w:jc w:val="both"/>
        <w:rPr>
          <w:i/>
          <w:i/>
          <w:sz w:val="26"/>
          <w:szCs w:val="26"/>
          <w:lang w:val="en-US"/>
        </w:rPr>
      </w:pPr>
      <w:r>
        <w:rPr>
          <w:i/>
          <w:sz w:val="26"/>
          <w:szCs w:val="26"/>
          <w:lang w:val="en-US"/>
        </w:rPr>
      </w:r>
    </w:p>
    <w:p>
      <w:pPr>
        <w:pStyle w:val="Normal"/>
        <w:ind w:firstLine="540"/>
        <w:rPr>
          <w:lang w:val="en-US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6c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26c5d"/>
    <w:rPr>
      <w:strike w:val="false"/>
      <w:dstrike w:val="false"/>
      <w:color w:val="000080"/>
      <w:u w:val="none"/>
      <w:effect w:val="non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d72c6"/>
    <w:rPr>
      <w:rFonts w:ascii="Tahoma" w:hAnsi="Tahoma" w:eastAsia="Times New Roman" w:cs="Tahoma"/>
      <w:sz w:val="16"/>
      <w:szCs w:val="16"/>
      <w:lang w:eastAsia="ru-RU"/>
    </w:rPr>
  </w:style>
  <w:style w:type="character" w:styleId="Style10" w:customStyle="1">
    <w:name w:val="Текст концевой сноски Знак"/>
    <w:basedOn w:val="DefaultParagraphFont"/>
    <w:uiPriority w:val="99"/>
    <w:semiHidden/>
    <w:qFormat/>
    <w:rsid w:val="00735a22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1">
    <w:name w:val="Символ концевой сноски"/>
    <w:uiPriority w:val="99"/>
    <w:semiHidden/>
    <w:unhideWhenUsed/>
    <w:qFormat/>
    <w:rsid w:val="00735a22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26c5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d72c6"/>
    <w:pPr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Style10"/>
    <w:uiPriority w:val="99"/>
    <w:semiHidden/>
    <w:unhideWhenUsed/>
    <w:rsid w:val="00735a22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k.ru/" TargetMode="External"/><Relationship Id="rId3" Type="http://schemas.openxmlformats.org/officeDocument/2006/relationships/hyperlink" Target="mailto:korablino@resk.ru" TargetMode="External"/><Relationship Id="rId4" Type="http://schemas.openxmlformats.org/officeDocument/2006/relationships/hyperlink" Target="http://www.resk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5422B-CF3F-4DB8-A02B-57EA793E1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Application>AlterOffice/3.3.0.4$Linux_X86_64 LibreOffice_project/fa736b558560ebea8f92088bfd7720f4b3918f3f</Application>
  <AppVersion>15.0000</AppVersion>
  <Pages>2</Pages>
  <Words>608</Words>
  <Characters>4253</Characters>
  <CharactersWithSpaces>4876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2019-10-01T07:19:00Z</dcterms:created>
  <dc:creator>user</dc:creator>
  <dc:description/>
  <dc:language>ru-RU</dc:language>
  <cp:lastModifiedBy>isaevani@Esc-rushydro.com</cp:lastModifiedBy>
  <cp:lastPrinted>2026-02-17T10:39:38Z</cp:lastPrinted>
  <dcterms:modified xsi:type="dcterms:W3CDTF">2026-05-27T12:52:10Z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