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10 </w:t>
      </w:r>
      <w:r>
        <w:rPr>
          <w:b/>
          <w:sz w:val="44"/>
          <w:szCs w:val="44"/>
        </w:rPr>
        <w:t>по Васильевскому переулку г.Рязани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/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января 2025г.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AlterOffice/3.3.0.4$Linux_X86_64 LibreOffice_project/fa736b558560ebea8f92088bfd7720f4b3918f3f</Application>
  <AppVersion>15.0000</AppVersion>
  <Pages>2</Pages>
  <Words>337</Words>
  <Characters>2168</Characters>
  <CharactersWithSpaces>2483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bogomolovats@Esc-rushydro.com</cp:lastModifiedBy>
  <cp:lastPrinted>2018-05-29T10:01:00Z</cp:lastPrinted>
  <dcterms:modified xsi:type="dcterms:W3CDTF">2024-12-10T11:48:03Z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