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00"/>
        <w:jc w:val="both"/>
        <w:rPr/>
      </w:pPr>
      <w:r>
        <w:rPr/>
      </w:r>
    </w:p>
    <w:p>
      <w:pPr>
        <w:pStyle w:val="Normal"/>
        <w:spacing w:lineRule="auto" w:line="300"/>
        <w:jc w:val="both"/>
        <w:rPr>
          <w:i/>
          <w:i/>
        </w:rPr>
      </w:pPr>
      <w:r>
        <w:rPr>
          <w:i/>
        </w:rPr>
        <w:t>Информация о цене на электрическую энергию, дифференцированной в зависимости от условий, определённых законодательством РФ. При этом отдельно раскрывается цена закупки электрической энергии, стоимость услуг по её передаче, а также стоимость иных услуг, оказание которых является неотъемлемой частью поставки электрической энергии потребителю.</w:t>
      </w:r>
    </w:p>
    <w:p>
      <w:pPr>
        <w:pStyle w:val="Normal"/>
        <w:spacing w:lineRule="auto" w:line="300"/>
        <w:jc w:val="both"/>
        <w:rPr/>
      </w:pPr>
      <w:r>
        <w:rPr/>
        <w:t xml:space="preserve"> </w:t>
      </w:r>
      <w:r>
        <w:rPr/>
        <w:t>Информация размещена:</w:t>
      </w:r>
    </w:p>
    <w:p>
      <w:pPr>
        <w:pStyle w:val="ListParagraph"/>
        <w:numPr>
          <w:ilvl w:val="0"/>
          <w:numId w:val="2"/>
        </w:numPr>
        <w:spacing w:lineRule="auto" w:line="300" w:before="0" w:after="0"/>
        <w:contextualSpacing/>
        <w:rPr>
          <w:lang w:val="en-US"/>
        </w:rPr>
      </w:pPr>
      <w:r>
        <w:rPr/>
        <w:t>Корпоративным клиентам</w:t>
      </w:r>
    </w:p>
    <w:p>
      <w:pPr>
        <w:pStyle w:val="ListParagraph"/>
        <w:numPr>
          <w:ilvl w:val="0"/>
          <w:numId w:val="2"/>
        </w:numPr>
        <w:spacing w:lineRule="auto" w:line="300" w:before="0" w:after="0"/>
        <w:contextualSpacing/>
        <w:rPr>
          <w:lang w:val="en-US"/>
        </w:rPr>
      </w:pPr>
      <w:r>
        <w:rPr/>
        <w:t>Всё о расчетах</w:t>
      </w:r>
    </w:p>
    <w:p>
      <w:pPr>
        <w:pStyle w:val="ListParagraph"/>
        <w:numPr>
          <w:ilvl w:val="0"/>
          <w:numId w:val="2"/>
        </w:numPr>
        <w:spacing w:lineRule="auto" w:line="300" w:before="0" w:after="0"/>
        <w:contextualSpacing/>
        <w:rPr>
          <w:lang w:val="en-US"/>
        </w:rPr>
      </w:pPr>
      <w:r>
        <w:rPr/>
        <w:t>Тарифы и цены</w:t>
      </w:r>
    </w:p>
    <w:p>
      <w:pPr>
        <w:pStyle w:val="ListParagraph"/>
        <w:numPr>
          <w:ilvl w:val="0"/>
          <w:numId w:val="2"/>
        </w:numPr>
        <w:spacing w:lineRule="auto" w:line="300" w:before="0" w:after="0"/>
        <w:contextualSpacing/>
        <w:rPr>
          <w:lang w:val="en-US"/>
        </w:rPr>
      </w:pPr>
      <w:r>
        <w:rPr/>
        <w:t>Нерегулируемые цены</w:t>
      </w:r>
    </w:p>
    <w:p>
      <w:pPr>
        <w:pStyle w:val="ListParagraph"/>
        <w:numPr>
          <w:ilvl w:val="0"/>
          <w:numId w:val="2"/>
        </w:numPr>
        <w:spacing w:lineRule="auto" w:line="300" w:before="0" w:after="0"/>
        <w:contextualSpacing/>
        <w:rPr>
          <w:lang w:val="en-US"/>
        </w:rPr>
      </w:pPr>
      <w:r>
        <w:rPr/>
        <w:t>Фактические значения нерегулируемых цен</w:t>
      </w:r>
    </w:p>
    <w:p>
      <w:pPr>
        <w:pStyle w:val="ListParagraph"/>
        <w:numPr>
          <w:ilvl w:val="0"/>
          <w:numId w:val="2"/>
        </w:numPr>
        <w:spacing w:lineRule="auto" w:line="300" w:before="0" w:after="0"/>
        <w:contextualSpacing/>
        <w:rPr>
          <w:lang w:val="en-US"/>
        </w:rPr>
      </w:pPr>
      <w:r>
        <w:rPr/>
        <w:t>202</w:t>
      </w:r>
      <w:r>
        <w:rPr/>
        <w:t>4</w:t>
      </w:r>
      <w:r>
        <w:rPr/>
        <w:t xml:space="preserve"> год</w:t>
      </w:r>
    </w:p>
    <w:p>
      <w:pPr>
        <w:pStyle w:val="Normal"/>
        <w:spacing w:lineRule="auto" w:line="300"/>
        <w:jc w:val="both"/>
        <w:rPr/>
      </w:pPr>
      <w:r>
        <w:rPr/>
      </w:r>
    </w:p>
    <w:p>
      <w:pPr>
        <w:pStyle w:val="Normal"/>
        <w:spacing w:lineRule="auto" w:line="300"/>
        <w:jc w:val="both"/>
        <w:rPr/>
      </w:pPr>
      <w:hyperlink r:id="rId3">
        <w:bookmarkStart w:id="0" w:name="_GoBack"/>
        <w:bookmarkEnd w:id="0"/>
        <w:r>
          <w:rPr>
            <w:rStyle w:val="Hyperlink"/>
            <w:b w:val="false"/>
            <w:bCs w:val="false"/>
          </w:rPr>
          <w:t>https://resk.ru/korporativnym-klientam/vse-o-raschetakh/tarify-i-tseny/nereguliruemye-tseny/fakticheskie-znacheniya-nereguliruemykh-tsen/</w:t>
        </w:r>
      </w:hyperlink>
    </w:p>
    <w:p>
      <w:pPr>
        <w:pStyle w:val="Normal"/>
        <w:spacing w:lineRule="auto" w:line="30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50c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818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5b1"/>
    <w:rPr>
      <w:color w:val="800080" w:themeColor="followedHyperlink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80353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0c433b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k.ru/korporativnym-klientam/vse-o-raschetakh/tarify-i-tseny/nereguliruemye-tseny/fakticheskie-znacheniya-nereguliruemykh-tsen/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CBC2B-13B7-4B9F-89F5-05D556F2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AlterOffice/3.3.1.2$Linux_X86_64 LibreOffice_project/d24a236f19d27df058de70d7d77bbc59fadeaa60</Application>
  <AppVersion>15.0000</AppVersion>
  <Pages>1</Pages>
  <Words>66</Words>
  <Characters>570</Characters>
  <CharactersWithSpaces>622</CharactersWithSpaces>
  <Paragraphs>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2024-05-15T12:32:00Z</dcterms:created>
  <dc:creator>*</dc:creator>
  <dc:description/>
  <dc:language>ru-RU</dc:language>
  <cp:lastModifiedBy>hrukinagp@Esc-rushydro.com</cp:lastModifiedBy>
  <dcterms:modified xsi:type="dcterms:W3CDTF">2025-05-19T13:28:28Z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