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</w:t>
      </w:r>
      <w:r>
        <w:rPr>
          <w:sz w:val="26"/>
          <w:szCs w:val="26"/>
        </w:rPr>
        <w:t>Горького</w:t>
      </w:r>
      <w:r>
        <w:rPr>
          <w:sz w:val="26"/>
          <w:szCs w:val="26"/>
        </w:rPr>
        <w:t>, д.</w:t>
      </w:r>
      <w:r>
        <w:rPr>
          <w:sz w:val="26"/>
          <w:szCs w:val="26"/>
        </w:rPr>
        <w:t>9/2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</w:t>
      </w:r>
      <w:r>
        <w:rPr>
          <w:sz w:val="26"/>
          <w:szCs w:val="26"/>
        </w:rPr>
        <w:t>19</w:t>
      </w:r>
      <w:r>
        <w:rPr>
          <w:sz w:val="26"/>
          <w:szCs w:val="26"/>
        </w:rPr>
        <w:t xml:space="preserve">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5003</Characters>
  <CharactersWithSpaces>5722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2026-01-20T13:14:41Z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