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 О ЗАКЛЮЧЕНИИ ДОГОВОРОВ О ПРЕДОСТАВЛЕНИИ КОММУНАЛЬНОЙ УСЛУГИ ПО ЭЛЕКТРОСНАБЖЕНИЮ</w:t>
      </w:r>
    </w:p>
    <w:p>
      <w:pPr>
        <w:pStyle w:val="Normal"/>
        <w:spacing w:lineRule="auto" w:line="27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p>
      <w:pPr>
        <w:pStyle w:val="Normal"/>
        <w:spacing w:lineRule="auto" w:line="276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связи с </w:t>
      </w:r>
      <w:r>
        <w:rPr>
          <w:sz w:val="26"/>
          <w:szCs w:val="26"/>
        </w:rPr>
        <w:t>вводом в эксплуатацию многоквартирного жилого дома</w:t>
      </w:r>
      <w:r>
        <w:rPr>
          <w:sz w:val="26"/>
          <w:szCs w:val="26"/>
        </w:rPr>
        <w:t xml:space="preserve"> по адресу: </w:t>
      </w:r>
      <w:r>
        <w:rPr>
          <w:sz w:val="26"/>
          <w:szCs w:val="26"/>
        </w:rPr>
        <w:t>Рязанская область, Рязанский район, п. Листвянка, ул. Авиационная, д.11, отсуствием</w:t>
      </w:r>
      <w:r>
        <w:rPr>
          <w:sz w:val="26"/>
          <w:szCs w:val="26"/>
        </w:rPr>
        <w:t xml:space="preserve"> решения </w:t>
      </w:r>
      <w:r>
        <w:rPr>
          <w:sz w:val="26"/>
          <w:szCs w:val="26"/>
        </w:rPr>
        <w:t>собственников и пользователей помещений о выборе способа управления</w:t>
      </w:r>
      <w:r>
        <w:rPr>
          <w:sz w:val="26"/>
          <w:szCs w:val="26"/>
        </w:rPr>
        <w:t xml:space="preserve">, Публичное акционерное общество «Рязанская энергетическая сбытовая компания» уведомляет о заключении договоров о предоставлении коммунальной услуги по электроснабжению с собственниками помещений в многоквартирном доме по адресу: </w:t>
      </w:r>
      <w:r>
        <w:rPr>
          <w:sz w:val="26"/>
          <w:szCs w:val="26"/>
        </w:rPr>
        <w:t>Рязанская область, Рязанский район, п. Листвянка, ул. Авиационная, д.11</w:t>
      </w:r>
      <w:r>
        <w:rPr>
          <w:sz w:val="26"/>
          <w:szCs w:val="26"/>
        </w:rPr>
        <w:t xml:space="preserve">, </w:t>
      </w:r>
      <w:r>
        <w:rPr>
          <w:b/>
          <w:sz w:val="26"/>
          <w:szCs w:val="26"/>
        </w:rPr>
        <w:t xml:space="preserve">с 01 </w:t>
      </w:r>
      <w:r>
        <w:rPr>
          <w:b/>
          <w:sz w:val="26"/>
          <w:szCs w:val="26"/>
        </w:rPr>
        <w:t>февраля</w:t>
      </w:r>
      <w:r>
        <w:rPr>
          <w:b/>
          <w:sz w:val="26"/>
          <w:szCs w:val="26"/>
        </w:rPr>
        <w:t xml:space="preserve"> 202</w:t>
      </w:r>
      <w:r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 г.</w:t>
      </w:r>
    </w:p>
    <w:p>
      <w:pPr>
        <w:pStyle w:val="Normal"/>
        <w:spacing w:lineRule="auto" w:line="276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Во исполнение п.17(</w:t>
      </w:r>
      <w:r>
        <w:rPr>
          <w:sz w:val="26"/>
          <w:szCs w:val="26"/>
        </w:rPr>
        <w:t>а</w:t>
      </w:r>
      <w:r>
        <w:rPr>
          <w:sz w:val="26"/>
          <w:szCs w:val="26"/>
        </w:rPr>
        <w:t>)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06.05.2011г. N 354, ПАО «РЭСК» сообщает:</w:t>
      </w:r>
    </w:p>
    <w:p>
      <w:pPr>
        <w:pStyle w:val="ListParagraph"/>
        <w:spacing w:lineRule="auto" w:line="276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1. Дата заключения и начала исполнения договоров о предоставлении коммунальной услуги по электроснабжению с ресурсоснабжающей организацией</w:t>
      </w:r>
      <w:r>
        <w:rPr>
          <w:sz w:val="26"/>
          <w:szCs w:val="26"/>
        </w:rPr>
        <w:t xml:space="preserve"> - </w:t>
      </w:r>
      <w:r>
        <w:rPr>
          <w:i/>
          <w:sz w:val="26"/>
          <w:szCs w:val="26"/>
        </w:rPr>
        <w:t xml:space="preserve">01 </w:t>
      </w:r>
      <w:r>
        <w:rPr>
          <w:i/>
          <w:sz w:val="26"/>
          <w:szCs w:val="26"/>
        </w:rPr>
        <w:t>февраля</w:t>
      </w:r>
      <w:r>
        <w:rPr>
          <w:i/>
          <w:sz w:val="26"/>
          <w:szCs w:val="26"/>
        </w:rPr>
        <w:t xml:space="preserve"> 202</w:t>
      </w:r>
      <w:r>
        <w:rPr>
          <w:i/>
          <w:sz w:val="26"/>
          <w:szCs w:val="26"/>
        </w:rPr>
        <w:t>6</w:t>
      </w:r>
      <w:r>
        <w:rPr>
          <w:i/>
          <w:sz w:val="26"/>
          <w:szCs w:val="26"/>
        </w:rPr>
        <w:t>г.</w:t>
      </w:r>
      <w:r>
        <w:rPr>
          <w:sz w:val="26"/>
          <w:szCs w:val="26"/>
        </w:rPr>
        <w:t>;</w:t>
      </w:r>
    </w:p>
    <w:p>
      <w:pPr>
        <w:pStyle w:val="ListParagraph"/>
        <w:spacing w:lineRule="auto" w:line="276"/>
        <w:ind w:left="0" w:firstLine="54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2. Перечень сведений, которые собственникам жилых помещений в многоквартирном доме необходимо предоставить ресурсоснабжающей организации для расчета размера платы за коммунальную услугу: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фамилия, имя, отчество (при наличии), дата и место рождения, реквизиты документа, удостоверяющего личность, контактный телефон и адрес электронной почты (при наличии),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адрес жилого помещения в многоквартирном доме с указанием общей площади жилого помещения, общей площади помещений, входящих в состав общего имущества в многоквартирном доме, а также количества лиц, постоянно проживающих в жилом помещении;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наличии и типе установленных в жилом помещении индивидуальных, общих (квартирных), комнатных приборов учета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учета, дате опломбирования приборов учета, а также их показания за 12 предшествующих расчетных периодов;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многоквартирного дома;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РФ;</w:t>
      </w:r>
    </w:p>
    <w:p>
      <w:pPr>
        <w:pStyle w:val="Normal"/>
        <w:spacing w:lineRule="auto" w:line="276"/>
        <w:ind w:firstLine="54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i/>
          <w:sz w:val="26"/>
          <w:szCs w:val="26"/>
        </w:rPr>
        <w:t xml:space="preserve">- сведения о введении в отношении жилого помещения ограничения или приостановления предоставления коммунальной услуги по электроснабжению в случае </w:t>
      </w:r>
      <w:r>
        <w:rPr>
          <w:rFonts w:eastAsia="Calibri" w:eastAsiaTheme="minorHAnsi"/>
          <w:i/>
          <w:sz w:val="26"/>
          <w:szCs w:val="26"/>
          <w:lang w:eastAsia="en-US"/>
        </w:rPr>
        <w:t>неполной оплаты потребителем коммунальной услуги по электроснабжению</w:t>
      </w:r>
      <w:r>
        <w:rPr>
          <w:i/>
          <w:sz w:val="26"/>
          <w:szCs w:val="26"/>
        </w:rPr>
        <w:t>, а также сведения об устранении оснований для введения такого ограничения или приостановления;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 в соответствии с вышеуказанными Правилами, за предыдущие 12 месяцев;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- реквизиты документов, подтверждающих право собственности на жилое помещение в многоквартирном доме и (или) их копии (при их наличии).  </w:t>
      </w:r>
    </w:p>
    <w:p>
      <w:pPr>
        <w:pStyle w:val="Normal"/>
        <w:spacing w:lineRule="auto" w:line="276"/>
        <w:ind w:firstLine="54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3. Информация о сроках и способах внесения платы за коммунальную услугу: </w:t>
      </w:r>
    </w:p>
    <w:p>
      <w:pPr>
        <w:pStyle w:val="Normal"/>
        <w:spacing w:lineRule="auto" w:line="276"/>
        <w:ind w:firstLine="54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Оплату коммунальной услуги по электроснабжению нужно производить по номеру лицевого счета не позднее 10-го числа месяца, следующего за расчетным. Оплату можно производить через сервис «личный кабинет клиента» </w:t>
      </w:r>
      <w:r>
        <w:rPr>
          <w:i/>
          <w:sz w:val="26"/>
          <w:szCs w:val="26"/>
        </w:rPr>
        <w:t xml:space="preserve">на сайте </w:t>
      </w:r>
      <w:hyperlink r:id="rId2">
        <w:r>
          <w:rPr>
            <w:rStyle w:val="Hyperlink"/>
            <w:i/>
            <w:sz w:val="26"/>
            <w:szCs w:val="26"/>
            <w:lang w:val="en-US"/>
          </w:rPr>
          <w:t>www</w:t>
        </w:r>
        <w:r>
          <w:rPr>
            <w:rStyle w:val="Hyperlink"/>
            <w:i/>
            <w:sz w:val="26"/>
            <w:szCs w:val="26"/>
          </w:rPr>
          <w:t>.</w:t>
        </w:r>
        <w:r>
          <w:rPr>
            <w:rStyle w:val="Hyperlink"/>
            <w:i/>
            <w:sz w:val="26"/>
            <w:szCs w:val="26"/>
            <w:lang w:val="en-US"/>
          </w:rPr>
          <w:t>resk</w:t>
        </w:r>
        <w:r>
          <w:rPr>
            <w:rStyle w:val="Hyperlink"/>
            <w:i/>
            <w:sz w:val="26"/>
            <w:szCs w:val="26"/>
          </w:rPr>
          <w:t>.</w:t>
        </w:r>
        <w:r>
          <w:rPr>
            <w:rStyle w:val="Hyperlink"/>
            <w:i/>
            <w:sz w:val="26"/>
            <w:szCs w:val="26"/>
            <w:lang w:val="en-US"/>
          </w:rPr>
          <w:t>ru</w:t>
        </w:r>
      </w:hyperlink>
      <w:r>
        <w:rPr>
          <w:i/>
          <w:sz w:val="26"/>
          <w:szCs w:val="26"/>
        </w:rPr>
        <w:t xml:space="preserve">, 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ПАО Сбербанк (а также </w:t>
      </w:r>
      <w:r>
        <w:rPr>
          <w:bCs/>
          <w:i/>
          <w:color w:val="000000"/>
          <w:sz w:val="26"/>
          <w:szCs w:val="26"/>
        </w:rPr>
        <w:t>через онлайн-сервис "Сбербанк Онлайн"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), ПАО Банк ВТБ (а также через онлайн-сервис),    АО «Почта России», </w:t>
      </w:r>
      <w:r>
        <w:rPr>
          <w:i/>
          <w:sz w:val="26"/>
          <w:szCs w:val="26"/>
        </w:rPr>
        <w:t xml:space="preserve">ОА «Россельхозбанк», ПАО «Прио-Внешторгбанк», ООО «ЦОКП», </w:t>
      </w:r>
      <w:r>
        <w:rPr>
          <w:rFonts w:eastAsia="Calibri" w:eastAsiaTheme="minorHAnsi"/>
          <w:i/>
          <w:sz w:val="26"/>
          <w:szCs w:val="26"/>
          <w:lang w:eastAsia="en-US"/>
        </w:rPr>
        <w:t>МП «КВЦ»</w:t>
      </w:r>
      <w:r>
        <w:rPr>
          <w:i/>
          <w:sz w:val="26"/>
          <w:szCs w:val="26"/>
        </w:rPr>
        <w:t xml:space="preserve">, с использованием онлайн-сервиса ВсеПлатежи.ру, 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в кассе ПАО «РЭСК» по адресу: г.Рязань, ул. Дзержинского дом 21 А.   </w:t>
      </w:r>
    </w:p>
    <w:p>
      <w:pPr>
        <w:pStyle w:val="Normal"/>
        <w:spacing w:lineRule="auto" w:line="276"/>
        <w:ind w:firstLine="567"/>
        <w:jc w:val="both"/>
        <w:rPr>
          <w:rFonts w:eastAsia="Calibri" w:eastAsiaTheme="minorHAnsi"/>
          <w:sz w:val="26"/>
          <w:szCs w:val="26"/>
          <w:u w:val="single"/>
          <w:lang w:eastAsia="en-US"/>
        </w:rPr>
      </w:pPr>
      <w:r>
        <w:rPr>
          <w:rFonts w:eastAsia="Calibri" w:eastAsiaTheme="minorHAnsi"/>
          <w:sz w:val="26"/>
          <w:szCs w:val="26"/>
          <w:u w:val="single"/>
          <w:lang w:eastAsia="en-US"/>
        </w:rPr>
        <w:t>4. Информация о сроках и способе передачи показаний приборов учета в ПАО «РЭСК»:</w:t>
      </w:r>
    </w:p>
    <w:p>
      <w:pPr>
        <w:pStyle w:val="Normal"/>
        <w:spacing w:lineRule="auto" w:line="276"/>
        <w:ind w:firstLine="54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Съем показаний прибора учета электрической энергии производится в период с 20 по 25 число текущего месяца. Снятые показания сообщаются ПАО «РЭСК» не позднее 25-го числа текущего месяца следующими способами:</w:t>
      </w:r>
    </w:p>
    <w:p>
      <w:pPr>
        <w:pStyle w:val="ListParagraph"/>
        <w:spacing w:lineRule="auto" w:line="276"/>
        <w:ind w:left="0" w:firstLine="54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По телефону 8-800-775-62-62 – звонок бесплатный;</w:t>
      </w:r>
    </w:p>
    <w:p>
      <w:pPr>
        <w:pStyle w:val="ListParagraph"/>
        <w:spacing w:lineRule="auto" w:line="276"/>
        <w:ind w:left="0" w:firstLine="54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Через сервис автоматизированного приема показаний в мессенджере </w:t>
      </w:r>
      <w:r>
        <w:rPr>
          <w:rFonts w:eastAsia="Calibri" w:eastAsiaTheme="minorHAnsi"/>
          <w:i/>
          <w:sz w:val="26"/>
          <w:szCs w:val="26"/>
          <w:lang w:val="en-US" w:eastAsia="en-US"/>
        </w:rPr>
        <w:t>Viber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 (круглосуточно);</w:t>
      </w:r>
    </w:p>
    <w:p>
      <w:pPr>
        <w:pStyle w:val="ListParagraph"/>
        <w:spacing w:lineRule="auto" w:line="276"/>
        <w:ind w:left="0" w:firstLine="54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Через сервис автоматизированного приема показаний в мессенджере </w:t>
      </w:r>
      <w:hyperlink r:id="rId3">
        <w:r>
          <w:rPr>
            <w:rFonts w:eastAsia="Calibri" w:eastAsiaTheme="minorHAnsi"/>
            <w:i/>
            <w:sz w:val="26"/>
            <w:szCs w:val="26"/>
            <w:lang w:val="en-US" w:eastAsia="en-US"/>
          </w:rPr>
          <w:t>Telegram</w:t>
        </w:r>
      </w:hyperlink>
      <w:r>
        <w:rPr>
          <w:rFonts w:eastAsia="Calibri" w:eastAsiaTheme="minorHAnsi"/>
          <w:i/>
          <w:sz w:val="26"/>
          <w:szCs w:val="26"/>
          <w:lang w:eastAsia="en-US"/>
        </w:rPr>
        <w:t xml:space="preserve"> (круглосуточно);</w:t>
      </w:r>
    </w:p>
    <w:p>
      <w:pPr>
        <w:pStyle w:val="ListParagraph"/>
        <w:spacing w:lineRule="auto" w:line="276"/>
        <w:ind w:left="0" w:firstLine="54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Через сервис автоматизированного приема показаний Алиса;</w:t>
      </w:r>
    </w:p>
    <w:p>
      <w:pPr>
        <w:pStyle w:val="ListParagraph"/>
        <w:spacing w:lineRule="auto" w:line="276"/>
        <w:ind w:left="0" w:firstLine="54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На сайте ПАО «РЭСК» </w:t>
      </w:r>
      <w:hyperlink r:id="rId4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www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resk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ru</w:t>
        </w:r>
      </w:hyperlink>
      <w:r>
        <w:rPr>
          <w:rFonts w:eastAsia="Calibri" w:eastAsiaTheme="minorHAnsi"/>
          <w:i/>
          <w:sz w:val="26"/>
          <w:szCs w:val="26"/>
          <w:lang w:eastAsia="en-US"/>
        </w:rPr>
        <w:t xml:space="preserve"> через Личный кабинет клиента;</w:t>
      </w:r>
    </w:p>
    <w:p>
      <w:pPr>
        <w:pStyle w:val="ListParagraph"/>
        <w:spacing w:lineRule="auto" w:line="276"/>
        <w:ind w:left="0" w:firstLine="54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При личном обращении в офис ПАО «РЭСК» по адресу: г.Рязань, ул. Дзержинского дом 21 А.   </w:t>
      </w:r>
    </w:p>
    <w:p>
      <w:pPr>
        <w:pStyle w:val="ListParagraph"/>
        <w:spacing w:lineRule="auto" w:line="276"/>
        <w:ind w:left="0" w:firstLine="54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 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Подробная информация о способах передачи показаний размещена на официальном сайте ПАО «РЭСК» </w:t>
      </w:r>
      <w:hyperlink r:id="rId5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www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resk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ru</w:t>
        </w:r>
      </w:hyperlink>
      <w:r>
        <w:rPr>
          <w:i/>
          <w:sz w:val="26"/>
          <w:szCs w:val="26"/>
        </w:rPr>
        <w:t xml:space="preserve"> .</w:t>
      </w:r>
    </w:p>
    <w:p>
      <w:pPr>
        <w:pStyle w:val="ListParagraph"/>
        <w:spacing w:lineRule="auto" w:line="276"/>
        <w:ind w:left="540" w:hanging="0"/>
        <w:jc w:val="both"/>
        <w:rPr>
          <w:sz w:val="26"/>
          <w:szCs w:val="26"/>
          <w:u w:val="single"/>
        </w:rPr>
      </w:pPr>
      <w:r>
        <w:rPr>
          <w:rFonts w:eastAsia="Calibri" w:eastAsiaTheme="minorHAnsi"/>
          <w:sz w:val="26"/>
          <w:szCs w:val="26"/>
          <w:u w:val="single"/>
          <w:lang w:eastAsia="en-US"/>
        </w:rPr>
        <w:t>5. Платежные реквизиты ПАО «РЭСК»:</w:t>
      </w:r>
    </w:p>
    <w:p>
      <w:pPr>
        <w:pStyle w:val="ListParagraph"/>
        <w:shd w:val="clear" w:color="auto" w:fill="FFFFFF"/>
        <w:spacing w:lineRule="auto" w:line="276"/>
        <w:ind w:left="0" w:firstLine="540"/>
        <w:jc w:val="both"/>
        <w:rPr>
          <w:i/>
          <w:i/>
          <w:spacing w:val="-3"/>
          <w:sz w:val="26"/>
          <w:szCs w:val="26"/>
        </w:rPr>
      </w:pPr>
      <w:r>
        <w:rPr>
          <w:i/>
          <w:sz w:val="26"/>
          <w:szCs w:val="26"/>
        </w:rPr>
        <w:t xml:space="preserve">ИНН </w:t>
      </w:r>
      <w:r>
        <w:rPr>
          <w:i/>
          <w:sz w:val="26"/>
          <w:szCs w:val="26"/>
          <w:lang w:eastAsia="en-US"/>
        </w:rPr>
        <w:t>6229049014</w:t>
      </w:r>
      <w:r>
        <w:rPr>
          <w:i/>
          <w:sz w:val="26"/>
          <w:szCs w:val="26"/>
        </w:rPr>
        <w:t xml:space="preserve">, </w:t>
      </w:r>
      <w:r>
        <w:rPr>
          <w:i/>
          <w:spacing w:val="-3"/>
          <w:sz w:val="26"/>
          <w:szCs w:val="26"/>
        </w:rPr>
        <w:t xml:space="preserve">КПП 622901001, </w:t>
      </w:r>
    </w:p>
    <w:p>
      <w:pPr>
        <w:pStyle w:val="ListParagraph"/>
        <w:shd w:val="clear" w:color="auto" w:fill="FFFFFF"/>
        <w:spacing w:lineRule="auto" w:line="276"/>
        <w:ind w:left="0"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р/с</w:t>
      </w:r>
      <w:r>
        <w:rPr>
          <w:i/>
          <w:sz w:val="26"/>
          <w:szCs w:val="26"/>
          <w:lang w:eastAsia="en-US"/>
        </w:rPr>
        <w:t xml:space="preserve"> 40702810253000162251</w:t>
      </w:r>
      <w:r>
        <w:rPr>
          <w:i/>
          <w:sz w:val="26"/>
          <w:szCs w:val="26"/>
        </w:rPr>
        <w:t xml:space="preserve"> в </w:t>
      </w:r>
      <w:r>
        <w:rPr>
          <w:i/>
          <w:spacing w:val="-1"/>
          <w:sz w:val="26"/>
          <w:szCs w:val="26"/>
        </w:rPr>
        <w:t>Рязанском отделении № 8606 ПАО «Сбербанк» г.Рязань</w:t>
      </w:r>
      <w:bookmarkStart w:id="0" w:name="_GoBack"/>
      <w:bookmarkEnd w:id="0"/>
    </w:p>
    <w:p>
      <w:pPr>
        <w:pStyle w:val="ListParagraph"/>
        <w:shd w:val="clear" w:color="auto" w:fill="FFFFFF"/>
        <w:spacing w:lineRule="auto" w:line="276"/>
        <w:ind w:left="0" w:firstLine="540"/>
        <w:jc w:val="both"/>
        <w:rPr>
          <w:i/>
          <w:i/>
          <w:sz w:val="26"/>
          <w:szCs w:val="26"/>
        </w:rPr>
      </w:pPr>
      <w:r>
        <w:rPr>
          <w:i/>
          <w:spacing w:val="-1"/>
          <w:sz w:val="26"/>
          <w:szCs w:val="26"/>
        </w:rPr>
        <w:t xml:space="preserve">к/с 3010 1810 5000 0000 0614 </w:t>
      </w:r>
      <w:r>
        <w:rPr>
          <w:i/>
          <w:spacing w:val="-2"/>
          <w:sz w:val="26"/>
          <w:szCs w:val="26"/>
        </w:rPr>
        <w:t>БИК 046126614</w:t>
      </w:r>
    </w:p>
    <w:p>
      <w:pPr>
        <w:pStyle w:val="ListParagraph"/>
        <w:spacing w:lineRule="auto" w:line="276"/>
        <w:ind w:left="0"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ОГРН 1056204000049</w:t>
      </w:r>
    </w:p>
    <w:p>
      <w:pPr>
        <w:pStyle w:val="ListParagraph"/>
        <w:spacing w:lineRule="auto" w:line="276"/>
        <w:ind w:left="0" w:firstLine="54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6. Информация об адресе (местонахождении) ресурсоснабжающей организации, а также адресах (местонахождении) ее филиалов (при наличии), контактных телефонах и адресах электронной почты:</w:t>
      </w:r>
    </w:p>
    <w:p>
      <w:pPr>
        <w:pStyle w:val="ListParagraph"/>
        <w:spacing w:lineRule="auto" w:line="276"/>
        <w:ind w:left="0"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юридический адрес: </w:t>
      </w:r>
      <w:r>
        <w:rPr>
          <w:i/>
          <w:sz w:val="26"/>
          <w:szCs w:val="26"/>
          <w:lang w:eastAsia="en-US"/>
        </w:rPr>
        <w:t>390005, г. Рязань, ул. Дзержинского, д.21А</w:t>
      </w:r>
    </w:p>
    <w:p>
      <w:pPr>
        <w:pStyle w:val="ListParagraph"/>
        <w:spacing w:lineRule="auto" w:line="276"/>
        <w:ind w:left="0"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адрес (местонахождение): 390005, </w:t>
      </w:r>
      <w:r>
        <w:rPr>
          <w:i/>
          <w:sz w:val="26"/>
          <w:szCs w:val="26"/>
          <w:lang w:eastAsia="en-US"/>
        </w:rPr>
        <w:t>г. Рязань, ул. Дзержинского, д.21А</w:t>
      </w:r>
    </w:p>
    <w:p>
      <w:pPr>
        <w:pStyle w:val="ListParagraph"/>
        <w:spacing w:lineRule="auto" w:line="276"/>
        <w:ind w:left="0"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Телефоны для связи: 8-800-775-62-62; 93-38-97.</w:t>
      </w:r>
    </w:p>
    <w:p>
      <w:pPr>
        <w:pStyle w:val="Normal"/>
        <w:spacing w:lineRule="auto" w:line="276"/>
        <w:ind w:firstLine="540"/>
        <w:jc w:val="both"/>
        <w:rPr>
          <w:lang w:val="en-US"/>
        </w:rPr>
      </w:pPr>
      <w:r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  <w:lang w:val="en-US"/>
        </w:rPr>
        <w:t xml:space="preserve">resk </w:t>
      </w:r>
      <w:hyperlink r:id="rId6">
        <w:r>
          <w:rPr>
            <w:rStyle w:val="Hyperlink"/>
            <w:i/>
            <w:color w:val="auto"/>
            <w:sz w:val="26"/>
            <w:szCs w:val="26"/>
            <w:lang w:val="en-US"/>
          </w:rPr>
          <w:t>@resk.ru</w:t>
        </w:r>
      </w:hyperlink>
      <w:r>
        <w:rPr>
          <w:i/>
          <w:sz w:val="26"/>
          <w:szCs w:val="26"/>
          <w:lang w:val="en-US"/>
        </w:rPr>
        <w:t xml:space="preserve">, </w:t>
      </w:r>
      <w:hyperlink r:id="rId7">
        <w:r>
          <w:rPr>
            <w:rStyle w:val="Hyperlink"/>
            <w:i/>
            <w:color w:val="auto"/>
            <w:sz w:val="26"/>
            <w:szCs w:val="26"/>
            <w:lang w:val="en-US"/>
          </w:rPr>
          <w:t>www.resk.ru</w:t>
        </w:r>
      </w:hyperlink>
    </w:p>
    <w:p>
      <w:pPr>
        <w:pStyle w:val="Normal"/>
        <w:spacing w:lineRule="auto" w:line="276"/>
        <w:ind w:firstLine="540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76"/>
        <w:ind w:firstLine="540"/>
        <w:jc w:val="both"/>
        <w:rPr>
          <w:i/>
          <w:i/>
          <w:sz w:val="26"/>
          <w:szCs w:val="26"/>
          <w:lang w:val="en-US"/>
        </w:rPr>
      </w:pPr>
      <w:r>
        <w:rPr>
          <w:i/>
          <w:sz w:val="26"/>
          <w:szCs w:val="26"/>
          <w:lang w:val="en-US"/>
        </w:rPr>
      </w:r>
    </w:p>
    <w:p>
      <w:pPr>
        <w:pStyle w:val="Normal"/>
        <w:ind w:firstLine="540"/>
        <w:rPr>
          <w:lang w:val="en-US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26c5d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rsid w:val="00926c5d"/>
    <w:rPr>
      <w:strike w:val="false"/>
      <w:dstrike w:val="false"/>
      <w:color w:val="000080"/>
      <w:u w:val="none"/>
      <w:effect w:val="none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6d72c6"/>
    <w:rPr>
      <w:rFonts w:ascii="Tahoma" w:hAnsi="Tahoma" w:eastAsia="Times New Roman" w:cs="Tahoma"/>
      <w:sz w:val="16"/>
      <w:szCs w:val="16"/>
      <w:lang w:eastAsia="ru-RU"/>
    </w:rPr>
  </w:style>
  <w:style w:type="character" w:styleId="Style10" w:customStyle="1">
    <w:name w:val="Текст концевой сноски Знак"/>
    <w:basedOn w:val="DefaultParagraphFont"/>
    <w:uiPriority w:val="99"/>
    <w:semiHidden/>
    <w:qFormat/>
    <w:rsid w:val="00735a22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1">
    <w:name w:val="Символ концевой сноски"/>
    <w:basedOn w:val="DefaultParagraphFont"/>
    <w:uiPriority w:val="99"/>
    <w:semiHidden/>
    <w:unhideWhenUsed/>
    <w:qFormat/>
    <w:rsid w:val="00735a22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926c5d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rsid w:val="006d72c6"/>
    <w:pPr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Style10"/>
    <w:uiPriority w:val="99"/>
    <w:semiHidden/>
    <w:unhideWhenUsed/>
    <w:rsid w:val="00735a22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esk.ru/" TargetMode="External"/><Relationship Id="rId3" Type="http://schemas.openxmlformats.org/officeDocument/2006/relationships/hyperlink" Target="https://resk.ru/telegram" TargetMode="External"/><Relationship Id="rId4" Type="http://schemas.openxmlformats.org/officeDocument/2006/relationships/hyperlink" Target="http://www.resk.ru/" TargetMode="External"/><Relationship Id="rId5" Type="http://schemas.openxmlformats.org/officeDocument/2006/relationships/hyperlink" Target="http://www.resk.ru/" TargetMode="External"/><Relationship Id="rId6" Type="http://schemas.openxmlformats.org/officeDocument/2006/relationships/hyperlink" Target="mailto:korablino@resk.ru" TargetMode="External"/><Relationship Id="rId7" Type="http://schemas.openxmlformats.org/officeDocument/2006/relationships/hyperlink" Target="http://www.resk.ru/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5422B-CF3F-4DB8-A02B-57EA793E1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Application>AlterOffice/3.4.0.9$Linux_X86_64 LibreOffice_project/b8daf9e823b1a5463a2f48435ddc2e8696e7d4fc</Application>
  <AppVersion>15.0000</AppVersion>
  <Pages>3</Pages>
  <Words>685</Words>
  <Characters>4730</Characters>
  <CharactersWithSpaces>5399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2019-10-01T07:19:00Z</dcterms:created>
  <dc:creator>user</dc:creator>
  <dc:description/>
  <dc:language>ru-RU</dc:language>
  <cp:lastModifiedBy>gusevanvi@Esc-rushydro.com</cp:lastModifiedBy>
  <cp:lastPrinted>2026-02-17T10:39:38Z</cp:lastPrinted>
  <dcterms:modified xsi:type="dcterms:W3CDTF">2026-02-17T14:35:15Z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