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СБЫТОВЫЕ НАДБАВКИ ГАРАНТИРУЮЩЕГО ПОСТАВЩИКА</w:t>
      </w:r>
    </w:p>
    <w:p>
      <w:pPr>
        <w:pStyle w:val="Normal"/>
        <w:widowControl w:val="false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ЭЛЕКТРИЧЕСКОЙ ЭНЕРГИИ </w:t>
      </w:r>
      <w:r>
        <w:rPr>
          <w:rFonts w:eastAsia="Calibri"/>
          <w:b/>
          <w:sz w:val="24"/>
          <w:szCs w:val="24"/>
        </w:rPr>
        <w:t>ПАО «РЭСК»</w:t>
      </w:r>
      <w:r>
        <w:rPr>
          <w:b/>
          <w:sz w:val="24"/>
          <w:szCs w:val="24"/>
        </w:rPr>
        <w:t xml:space="preserve"> В ЗОНЕ ЕГО ДЕЯТЕЛЬНОСТИ</w:t>
      </w:r>
    </w:p>
    <w:p>
      <w:pPr>
        <w:pStyle w:val="Normal"/>
        <w:widowControl w:val="false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</w:p>
    <w:p>
      <w:pPr>
        <w:pStyle w:val="Normal"/>
        <w:widowControl w:val="false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 ГУ «РЭК» Рязанской области от </w:t>
      </w:r>
      <w:r>
        <w:rPr>
          <w:sz w:val="24"/>
          <w:szCs w:val="24"/>
        </w:rPr>
        <w:t>29</w:t>
      </w:r>
      <w:r>
        <w:rPr>
          <w:sz w:val="24"/>
          <w:szCs w:val="24"/>
        </w:rPr>
        <w:t>.11.202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г. № </w:t>
      </w:r>
      <w:r>
        <w:rPr>
          <w:sz w:val="24"/>
          <w:szCs w:val="24"/>
        </w:rPr>
        <w:t>208</w:t>
      </w:r>
    </w:p>
    <w:p>
      <w:pPr>
        <w:pStyle w:val="Normal"/>
        <w:rPr/>
      </w:pPr>
      <w:r>
        <w:rPr/>
      </w:r>
    </w:p>
    <w:tbl>
      <w:tblPr>
        <w:tblW w:w="11114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52"/>
        <w:gridCol w:w="801"/>
        <w:gridCol w:w="801"/>
        <w:gridCol w:w="878"/>
        <w:gridCol w:w="859"/>
        <w:gridCol w:w="894"/>
        <w:gridCol w:w="1005"/>
        <w:gridCol w:w="1030"/>
        <w:gridCol w:w="1004"/>
        <w:gridCol w:w="1030"/>
        <w:gridCol w:w="1160"/>
      </w:tblGrid>
      <w:tr>
        <w:trPr>
          <w:trHeight w:val="630" w:hRule="atLeast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946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Сбытовая надбавка, руб./кВт*ч без НДС</w:t>
            </w:r>
          </w:p>
        </w:tc>
      </w:tr>
      <w:tr>
        <w:trPr>
          <w:trHeight w:val="3705" w:hRule="atLeast"/>
        </w:trPr>
        <w:tc>
          <w:tcPr>
            <w:tcW w:w="1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Тарифная группа потребителей "население" и приравненные к нему категории потребителей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Тарифная группа потребителей "сетевые организации, покупающие электрическую энергию для компенсации потерь электрической энергии"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Тарифная группа "прочие потребители" – по подгруппе в зависимости от величины макс. мощности принадлежащих им энергопринимающих устройств менее 670 кВт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Тарифная группа "прочие потребители" – по подгруппе в зависимости от величины макс. мощности принадлежащих им энергопринимающих устройств от 670 кВт до 10 МВт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Тарифная группа "прочие потребители" – по подгруппе в зависимости от величины макс. мощности принадлежащих им энергопринимающих устройств не менее 10 МВт</w:t>
            </w:r>
            <w:bookmarkStart w:id="0" w:name="_GoBack"/>
          </w:p>
        </w:tc>
      </w:tr>
      <w:tr>
        <w:trPr>
          <w:trHeight w:val="630" w:hRule="atLeast"/>
        </w:trPr>
        <w:tc>
          <w:tcPr>
            <w:tcW w:w="1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bookmarkEnd w:id="0"/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пол-е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пол-е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пол-е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пол-е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пол-е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пол-е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пол-е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пол-е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пол-е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пол-е</w:t>
            </w:r>
          </w:p>
        </w:tc>
      </w:tr>
      <w:tr>
        <w:trPr>
          <w:trHeight w:val="630" w:hRule="atLeast"/>
        </w:trPr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ПАО "РЭСК"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0,93942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</w:rPr>
              <w:t>31725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0,1</w:t>
            </w:r>
            <w:r>
              <w:rPr>
                <w:rFonts w:eastAsia="Calibri"/>
                <w:color w:val="000000"/>
                <w:sz w:val="18"/>
                <w:szCs w:val="18"/>
              </w:rPr>
              <w:t>4870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0,1</w:t>
            </w:r>
            <w:r>
              <w:rPr>
                <w:rFonts w:eastAsia="Calibri"/>
                <w:color w:val="000000"/>
                <w:sz w:val="18"/>
                <w:szCs w:val="18"/>
              </w:rPr>
              <w:t>4870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  <w:r>
              <w:rPr>
                <w:color w:val="000000"/>
                <w:sz w:val="18"/>
                <w:szCs w:val="18"/>
              </w:rPr>
              <w:t>2462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46931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  <w:r>
              <w:rPr>
                <w:color w:val="000000"/>
                <w:sz w:val="18"/>
                <w:szCs w:val="18"/>
              </w:rPr>
              <w:t>7579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89893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  <w:r>
              <w:rPr>
                <w:color w:val="000000"/>
                <w:sz w:val="18"/>
                <w:szCs w:val="18"/>
              </w:rPr>
              <w:t>7487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48977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289" w:right="289" w:gutter="0" w:header="709" w:top="766" w:footer="0" w:bottom="29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3" w:type="dxa"/>
      <w:jc w:val="left"/>
      <w:tblInd w:w="109" w:type="dxa"/>
      <w:tblLayout w:type="fixed"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5522"/>
      <w:gridCol w:w="5250"/>
    </w:tblGrid>
    <w:tr>
      <w:trPr>
        <w:trHeight w:val="1398" w:hRule="atLeast"/>
      </w:trPr>
      <w:tc>
        <w:tcPr>
          <w:tcW w:w="5522" w:type="dxa"/>
          <w:tcBorders/>
        </w:tcPr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/>
            <w:drawing>
              <wp:inline distT="0" distB="0" distL="0" distR="0">
                <wp:extent cx="1932305" cy="758825"/>
                <wp:effectExtent l="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  <w:tcBorders/>
        </w:tcPr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</w:r>
        </w:p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для юридических и физических лиц</w:t>
          </w:r>
        </w:p>
      </w:tc>
    </w:tr>
  </w:tbl>
  <w:p>
    <w:pPr>
      <w:pStyle w:val="Header"/>
      <w:tabs>
        <w:tab w:val="clear" w:pos="4677"/>
        <w:tab w:val="center" w:pos="1134" w:leader="none"/>
        <w:tab w:val="right" w:pos="9355" w:leader="none"/>
      </w:tabs>
      <w:spacing w:before="0" w:after="0"/>
      <w:jc w:val="left"/>
      <w:rPr>
        <w:rFonts w:ascii="Arial" w:hAnsi="Arial" w:cs="Arial"/>
        <w:b/>
        <w:sz w:val="28"/>
        <w:szCs w:val="28"/>
      </w:rPr>
    </w:pPr>
    <w:r>
      <w:rPr>
        <w:rFonts w:cs="Arial" w:ascii="Arial" w:hAnsi="Arial"/>
        <w:b/>
        <w:sz w:val="28"/>
        <w:szCs w:val="28"/>
      </w:rPr>
    </w:r>
  </w:p>
  <w:p>
    <w:pPr>
      <w:pStyle w:val="Header"/>
      <w:tabs>
        <w:tab w:val="clear" w:pos="4677"/>
        <w:tab w:val="center" w:pos="1134" w:leader="none"/>
        <w:tab w:val="right" w:pos="9355" w:leader="none"/>
      </w:tabs>
      <w:ind w:right="-576" w:hanging="0"/>
      <w:rPr/>
    </w:pPr>
    <w:r>
      <w:rPr/>
      <mc:AlternateContent>
        <mc:Choice Requires="wps">
          <w:drawing>
            <wp:anchor behindDoc="1" distT="20320" distB="27305" distL="19050" distR="25400" simplePos="0" locked="0" layoutInCell="0" allowOverlap="1" relativeHeight="3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635"/>
              <wp:effectExtent l="20320" t="19685" r="19050" b="19050"/>
              <wp:wrapNone/>
              <wp:docPr id="2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032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1.5pt;margin-top:1.6pt;width:541.7pt;height:0pt;mso-wrap-style:none;v-text-anchor:middle" type="_x0000_t32">
              <v:fill o:detectmouseclick="t" on="false"/>
              <v:stroke color="#2176ff" weight="3816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807"/>
    <w:pPr>
      <w:widowControl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95822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a2169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a2169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fa2169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a216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a216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a21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a216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a216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" w:customStyle="1">
    <w:name w:val="Верхний колонтитул Знак"/>
    <w:basedOn w:val="DefaultParagraphFont"/>
    <w:uiPriority w:val="99"/>
    <w:qFormat/>
    <w:rsid w:val="005c2c97"/>
    <w:rPr/>
  </w:style>
  <w:style w:type="character" w:styleId="Style1" w:customStyle="1">
    <w:name w:val="Нижний колонтитул Знак"/>
    <w:basedOn w:val="DefaultParagraphFont"/>
    <w:uiPriority w:val="99"/>
    <w:qFormat/>
    <w:rsid w:val="005c2c97"/>
    <w:rPr/>
  </w:style>
  <w:style w:type="character" w:styleId="Style2" w:customStyle="1">
    <w:name w:val="Без интервала Знак"/>
    <w:link w:val="NoSpacing"/>
    <w:uiPriority w:val="1"/>
    <w:qFormat/>
    <w:rsid w:val="005c2c97"/>
    <w:rPr>
      <w:rFonts w:eastAsia="Times New Roman"/>
      <w:sz w:val="22"/>
      <w:szCs w:val="22"/>
      <w:lang w:val="ru-RU" w:eastAsia="en-US" w:bidi="ar-SA"/>
    </w:rPr>
  </w:style>
  <w:style w:type="character" w:styleId="Style3" w:customStyle="1">
    <w:name w:val="Текст выноски Знак"/>
    <w:link w:val="BalloonText"/>
    <w:uiPriority w:val="99"/>
    <w:semiHidden/>
    <w:qFormat/>
    <w:rsid w:val="005c2c97"/>
    <w:rPr>
      <w:rFonts w:ascii="Tahoma" w:hAnsi="Tahoma" w:cs="Tahoma"/>
      <w:sz w:val="16"/>
      <w:szCs w:val="16"/>
    </w:rPr>
  </w:style>
  <w:style w:type="character" w:styleId="Hyperlink">
    <w:name w:val="Hyperlink"/>
    <w:rsid w:val="00e13807"/>
    <w:rPr>
      <w:color w:val="006EB3"/>
      <w:u w:val="single"/>
    </w:rPr>
  </w:style>
  <w:style w:type="character" w:styleId="Style4" w:customStyle="1">
    <w:name w:val="Текст Знак"/>
    <w:link w:val="PlainText"/>
    <w:uiPriority w:val="99"/>
    <w:qFormat/>
    <w:rsid w:val="00e13807"/>
    <w:rPr>
      <w:rFonts w:ascii="Courier New" w:hAnsi="Courier New" w:eastAsia="Calibri" w:cs="Times New Roman"/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ee3c7a"/>
    <w:rPr>
      <w:sz w:val="16"/>
      <w:szCs w:val="16"/>
    </w:rPr>
  </w:style>
  <w:style w:type="character" w:styleId="Style5" w:customStyle="1">
    <w:name w:val="Текст примечания Знак"/>
    <w:link w:val="Annotationtext"/>
    <w:uiPriority w:val="99"/>
    <w:semiHidden/>
    <w:qFormat/>
    <w:rsid w:val="00ee3c7a"/>
    <w:rPr>
      <w:rFonts w:ascii="Times New Roman" w:hAnsi="Times New Roman" w:eastAsia="Times New Roman"/>
    </w:rPr>
  </w:style>
  <w:style w:type="character" w:styleId="Style6" w:customStyle="1">
    <w:name w:val="Тема примечания Знак"/>
    <w:link w:val="Annotationsubject"/>
    <w:uiPriority w:val="99"/>
    <w:semiHidden/>
    <w:qFormat/>
    <w:rsid w:val="00ee3c7a"/>
    <w:rPr>
      <w:rFonts w:ascii="Times New Roman" w:hAnsi="Times New Roman" w:eastAsia="Times New Roman"/>
      <w:b/>
      <w:bCs/>
    </w:rPr>
  </w:style>
  <w:style w:type="character" w:styleId="Strong">
    <w:name w:val="Strong"/>
    <w:qFormat/>
    <w:rsid w:val="00204085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b029fa"/>
    <w:rPr/>
  </w:style>
  <w:style w:type="character" w:styleId="Style7" w:customStyle="1">
    <w:name w:val="Текст сноски Знак"/>
    <w:basedOn w:val="DefaultParagraphFont"/>
    <w:semiHidden/>
    <w:qFormat/>
    <w:rsid w:val="00d96503"/>
    <w:rPr>
      <w:rFonts w:ascii="Times New Roman" w:hAnsi="Times New Roman" w:eastAsia="Times New Roman"/>
    </w:rPr>
  </w:style>
  <w:style w:type="character" w:styleId="Style8">
    <w:name w:val="Символ сноски"/>
    <w:basedOn w:val="DefaultParagraphFont"/>
    <w:semiHidden/>
    <w:qFormat/>
    <w:rsid w:val="00d9650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1" w:customStyle="1">
    <w:name w:val="Заголовок 1 Знак"/>
    <w:basedOn w:val="DefaultParagraphFont"/>
    <w:uiPriority w:val="9"/>
    <w:qFormat/>
    <w:rsid w:val="00f95822"/>
    <w:rPr>
      <w:rFonts w:ascii="Cambria" w:hAnsi="Cambria" w:eastAsia="Times New Roman"/>
      <w:b/>
      <w:bCs/>
      <w:color w:val="365F91"/>
      <w:sz w:val="28"/>
      <w:szCs w:val="28"/>
    </w:rPr>
  </w:style>
  <w:style w:type="character" w:styleId="Apple-style-span" w:customStyle="1">
    <w:name w:val="apple-style-span"/>
    <w:basedOn w:val="DefaultParagraphFont"/>
    <w:qFormat/>
    <w:rsid w:val="00f95822"/>
    <w:rPr/>
  </w:style>
  <w:style w:type="character" w:styleId="2" w:customStyle="1">
    <w:name w:val="Заголовок 2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qFormat/>
    <w:rsid w:val="00fa2169"/>
    <w:rPr>
      <w:rFonts w:ascii="Calibri" w:hAnsi="Calibri" w:eastAsia="Times New Roman"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sz w:val="22"/>
      <w:szCs w:val="22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link w:val="Style"/>
    <w:uiPriority w:val="99"/>
    <w:unhideWhenUsed/>
    <w:rsid w:val="005c2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"/>
    <w:uiPriority w:val="99"/>
    <w:unhideWhenUsed/>
    <w:rsid w:val="005c2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2"/>
    <w:uiPriority w:val="1"/>
    <w:qFormat/>
    <w:rsid w:val="005c2c97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Style3"/>
    <w:uiPriority w:val="99"/>
    <w:semiHidden/>
    <w:unhideWhenUsed/>
    <w:qFormat/>
    <w:rsid w:val="005c2c97"/>
    <w:pPr/>
    <w:rPr>
      <w:rFonts w:ascii="Tahoma" w:hAnsi="Tahoma" w:eastAsia="Calibri"/>
      <w:sz w:val="16"/>
      <w:szCs w:val="16"/>
    </w:rPr>
  </w:style>
  <w:style w:type="paragraph" w:styleId="Text" w:customStyle="1">
    <w:name w:val="text"/>
    <w:basedOn w:val="Normal"/>
    <w:qFormat/>
    <w:rsid w:val="00e13807"/>
    <w:pPr>
      <w:spacing w:lineRule="atLeast" w:line="300" w:before="120" w:after="120"/>
    </w:pPr>
    <w:rPr>
      <w:sz w:val="24"/>
      <w:szCs w:val="24"/>
    </w:rPr>
  </w:style>
  <w:style w:type="paragraph" w:styleId="PlainText">
    <w:name w:val="Plain Text"/>
    <w:basedOn w:val="Normal"/>
    <w:link w:val="Style4"/>
    <w:uiPriority w:val="99"/>
    <w:unhideWhenUsed/>
    <w:qFormat/>
    <w:rsid w:val="00e13807"/>
    <w:pPr>
      <w:spacing w:before="0" w:after="0"/>
      <w:jc w:val="left"/>
    </w:pPr>
    <w:rPr>
      <w:rFonts w:ascii="Courier New" w:hAnsi="Courier New" w:eastAsia="Calibri"/>
      <w:sz w:val="24"/>
      <w:szCs w:val="24"/>
    </w:rPr>
  </w:style>
  <w:style w:type="paragraph" w:styleId="11" w:customStyle="1">
    <w:name w:val="1 Знак"/>
    <w:basedOn w:val="Normal"/>
    <w:qFormat/>
    <w:rsid w:val="00bf52dd"/>
    <w:pPr>
      <w:tabs>
        <w:tab w:val="clear" w:pos="708"/>
        <w:tab w:val="left" w:pos="1069" w:leader="none"/>
      </w:tabs>
      <w:spacing w:lineRule="exact" w:line="240" w:before="0" w:after="160"/>
      <w:ind w:left="1069" w:hanging="360"/>
    </w:pPr>
    <w:rPr>
      <w:rFonts w:ascii="Verdana" w:hAnsi="Verdana" w:cs="Arial"/>
      <w:lang w:val="en-US" w:eastAsia="en-US"/>
    </w:rPr>
  </w:style>
  <w:style w:type="paragraph" w:styleId="NormalWeb">
    <w:name w:val="Normal (Web)"/>
    <w:basedOn w:val="Normal"/>
    <w:uiPriority w:val="99"/>
    <w:qFormat/>
    <w:rsid w:val="00bf52dd"/>
    <w:pPr>
      <w:spacing w:beforeAutospacing="1" w:afterAutospacing="1"/>
      <w:jc w:val="left"/>
    </w:pPr>
    <w:rPr>
      <w:sz w:val="24"/>
      <w:szCs w:val="24"/>
    </w:rPr>
  </w:style>
  <w:style w:type="paragraph" w:styleId="Annotationtext">
    <w:name w:val="annotation text"/>
    <w:basedOn w:val="Normal"/>
    <w:link w:val="Style5"/>
    <w:uiPriority w:val="99"/>
    <w:semiHidden/>
    <w:unhideWhenUsed/>
    <w:qFormat/>
    <w:rsid w:val="00ee3c7a"/>
    <w:pPr/>
    <w:rPr/>
  </w:style>
  <w:style w:type="paragraph" w:styleId="Annotationsubject">
    <w:name w:val="annotation subject"/>
    <w:basedOn w:val="Annotationtext"/>
    <w:next w:val="Annotationtext"/>
    <w:link w:val="Style6"/>
    <w:uiPriority w:val="99"/>
    <w:semiHidden/>
    <w:unhideWhenUsed/>
    <w:qFormat/>
    <w:rsid w:val="00ee3c7a"/>
    <w:pPr/>
    <w:rPr>
      <w:b/>
      <w:bCs/>
    </w:rPr>
  </w:style>
  <w:style w:type="paragraph" w:styleId="FootnoteText">
    <w:name w:val="Footnote Text"/>
    <w:basedOn w:val="Normal"/>
    <w:link w:val="Style7"/>
    <w:semiHidden/>
    <w:rsid w:val="00d96503"/>
    <w:pPr>
      <w:spacing w:before="0" w:after="0"/>
      <w:jc w:val="left"/>
    </w:pPr>
    <w:rPr/>
  </w:style>
  <w:style w:type="paragraph" w:styleId="Style12" w:customStyle="1">
    <w:name w:val="Список с цифрой"/>
    <w:basedOn w:val="Normal"/>
    <w:qFormat/>
    <w:rsid w:val="00d96503"/>
    <w:pPr>
      <w:numPr>
        <w:ilvl w:val="0"/>
        <w:numId w:val="2"/>
      </w:numPr>
      <w:tabs>
        <w:tab w:val="clear" w:pos="708"/>
        <w:tab w:val="left" w:pos="357" w:leader="none"/>
      </w:tabs>
      <w:spacing w:before="60" w:after="60"/>
    </w:pPr>
    <w:rPr>
      <w:sz w:val="24"/>
    </w:rPr>
  </w:style>
  <w:style w:type="paragraph" w:styleId="Default" w:customStyle="1">
    <w:name w:val="Default"/>
    <w:qFormat/>
    <w:rsid w:val="007b51a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42a67"/>
    <w:pPr>
      <w:spacing w:before="0" w:after="0"/>
      <w:ind w:left="720" w:hanging="0"/>
      <w:contextualSpacing/>
      <w:jc w:val="left"/>
    </w:pPr>
    <w:rPr>
      <w:sz w:val="24"/>
      <w:szCs w:val="24"/>
    </w:rPr>
  </w:style>
  <w:style w:type="paragraph" w:styleId="ConsPlusNormal" w:customStyle="1">
    <w:name w:val="ConsPlusNormal"/>
    <w:qFormat/>
    <w:rsid w:val="00522514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2"/>
    <w:uiPriority w:val="59"/>
    <w:rsid w:val="00c42a67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D4B5E-FA49-4976-A303-FBAD557D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AlterOffice/3.3.1.2$Linux_X86_64 LibreOffice_project/d24a236f19d27df058de70d7d77bbc59fadeaa60</Application>
  <AppVersion>15.0000</AppVersion>
  <Pages>1</Pages>
  <Words>158</Words>
  <Characters>1020</Characters>
  <CharactersWithSpaces>1148</CharactersWithSpaces>
  <Paragraphs>35</Paragraphs>
  <Company>РусГидро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2023-12-20T13:26:00Z</dcterms:created>
  <dc:creator>Ershov</dc:creator>
  <dc:description/>
  <dc:language>ru-RU</dc:language>
  <cp:lastModifiedBy>hrukinagp@Esc-rushydro.com</cp:lastModifiedBy>
  <cp:lastPrinted>2018-10-22T07:59:00Z</cp:lastPrinted>
  <dcterms:modified xsi:type="dcterms:W3CDTF">2025-01-20T16:48:22Z</dcterms:modified>
  <cp:revision>4</cp:revision>
  <dc:subject/>
  <dc:title>Справка: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